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086B8A" w14:textId="77777777" w:rsidR="00265945" w:rsidRPr="00101349" w:rsidRDefault="00265945" w:rsidP="00182DB3">
      <w:pPr>
        <w:pStyle w:val="PRT"/>
        <w:spacing w:before="0"/>
        <w:rPr>
          <w:rFonts w:cs="Arial"/>
        </w:rPr>
      </w:pPr>
      <w:r w:rsidRPr="00101349">
        <w:rPr>
          <w:rFonts w:cs="Arial"/>
        </w:rPr>
        <w:t>GENERAL</w:t>
      </w:r>
    </w:p>
    <w:p w14:paraId="7E123E5B" w14:textId="77777777" w:rsidR="00101349" w:rsidRPr="00101349" w:rsidRDefault="00101349" w:rsidP="002A6BC1">
      <w:pPr>
        <w:pStyle w:val="ART"/>
      </w:pPr>
      <w:r w:rsidRPr="00101349">
        <w:t>SUMMARY</w:t>
      </w:r>
    </w:p>
    <w:p w14:paraId="1CEF363A" w14:textId="77777777" w:rsidR="00101349" w:rsidRPr="00101349" w:rsidRDefault="00101349" w:rsidP="005D2A63">
      <w:pPr>
        <w:pStyle w:val="PR1"/>
      </w:pPr>
      <w:r w:rsidRPr="00101349">
        <w:t>This Section includes the following:</w:t>
      </w:r>
    </w:p>
    <w:p w14:paraId="20000AA4" w14:textId="77777777" w:rsidR="00101349" w:rsidRPr="00101349" w:rsidRDefault="00101349" w:rsidP="002A6BC1">
      <w:pPr>
        <w:pStyle w:val="PR2"/>
      </w:pPr>
      <w:r w:rsidRPr="00101349">
        <w:t>Bus plug-in devices.</w:t>
      </w:r>
    </w:p>
    <w:p w14:paraId="3CA4F891" w14:textId="77777777" w:rsidR="00101349" w:rsidRPr="00101349" w:rsidRDefault="00101349" w:rsidP="00101349">
      <w:pPr>
        <w:pStyle w:val="ART"/>
        <w:tabs>
          <w:tab w:val="left" w:pos="864"/>
        </w:tabs>
        <w:rPr>
          <w:rFonts w:cs="Arial"/>
        </w:rPr>
      </w:pPr>
      <w:r w:rsidRPr="00101349">
        <w:rPr>
          <w:rFonts w:cs="Arial"/>
        </w:rPr>
        <w:t>INFORMATIONAL SUBMITTALS</w:t>
      </w:r>
    </w:p>
    <w:p w14:paraId="1FE094FD" w14:textId="77777777" w:rsidR="00101349" w:rsidRPr="00101349" w:rsidRDefault="00101349" w:rsidP="005D2A63">
      <w:pPr>
        <w:pStyle w:val="PR1"/>
      </w:pPr>
      <w:r w:rsidRPr="00101349">
        <w:t>Coordination Drawings:  Show the following:</w:t>
      </w:r>
    </w:p>
    <w:p w14:paraId="05C07E3D" w14:textId="77777777" w:rsidR="00101349" w:rsidRPr="00101349" w:rsidRDefault="00101349" w:rsidP="00101349">
      <w:pPr>
        <w:pStyle w:val="PR2"/>
        <w:tabs>
          <w:tab w:val="left" w:pos="1440"/>
        </w:tabs>
        <w:suppressAutoHyphens/>
        <w:jc w:val="both"/>
        <w:outlineLvl w:val="3"/>
        <w:rPr>
          <w:rFonts w:cs="Arial"/>
        </w:rPr>
      </w:pPr>
      <w:r w:rsidRPr="00101349">
        <w:rPr>
          <w:rFonts w:cs="Arial"/>
        </w:rPr>
        <w:t xml:space="preserve">Clearances for access above and to the side of enclosed bus </w:t>
      </w:r>
      <w:r>
        <w:rPr>
          <w:rFonts w:cs="Arial"/>
        </w:rPr>
        <w:t>plug-in device</w:t>
      </w:r>
      <w:r w:rsidRPr="00101349">
        <w:rPr>
          <w:rFonts w:cs="Arial"/>
        </w:rPr>
        <w:t>.</w:t>
      </w:r>
    </w:p>
    <w:p w14:paraId="44B792D9" w14:textId="77777777" w:rsidR="00101349" w:rsidRPr="00101349" w:rsidRDefault="00101349" w:rsidP="00101349">
      <w:pPr>
        <w:pStyle w:val="PR2"/>
        <w:tabs>
          <w:tab w:val="left" w:pos="1440"/>
        </w:tabs>
        <w:suppressAutoHyphens/>
        <w:jc w:val="both"/>
        <w:outlineLvl w:val="3"/>
        <w:rPr>
          <w:rFonts w:cs="Arial"/>
        </w:rPr>
      </w:pPr>
      <w:r w:rsidRPr="00101349">
        <w:rPr>
          <w:rFonts w:cs="Arial"/>
        </w:rPr>
        <w:t>Support locations, type of support, and weight on each support.</w:t>
      </w:r>
    </w:p>
    <w:p w14:paraId="51895A82" w14:textId="77777777" w:rsidR="00101349" w:rsidRPr="00101349" w:rsidRDefault="00101349" w:rsidP="005D2A63">
      <w:pPr>
        <w:pStyle w:val="PR1"/>
      </w:pPr>
      <w:r w:rsidRPr="00101349">
        <w:t>Product Certificates:  For each type of enclosed bus assembly, signed by product manufacturer.</w:t>
      </w:r>
    </w:p>
    <w:p w14:paraId="1D62189A" w14:textId="77777777" w:rsidR="00101349" w:rsidRPr="00101349" w:rsidRDefault="00101349" w:rsidP="005D2A63">
      <w:pPr>
        <w:pStyle w:val="PR2"/>
      </w:pPr>
      <w:r w:rsidRPr="00101349">
        <w:t>The term "withstand" means "the unit will remain in place without separation of any parts from the device when subjected to the seismic forces specified."</w:t>
      </w:r>
    </w:p>
    <w:p w14:paraId="57568A96" w14:textId="77777777" w:rsidR="00101349" w:rsidRPr="00101349" w:rsidRDefault="00101349" w:rsidP="005D2A63">
      <w:pPr>
        <w:pStyle w:val="PR2"/>
      </w:pPr>
      <w:r w:rsidRPr="00101349">
        <w:t>Dimensioned Outline Drawings of Equipment Unit:  Identify center of gravity and locate and describe mounting and anchorage provisions.</w:t>
      </w:r>
    </w:p>
    <w:p w14:paraId="2E0F70A3" w14:textId="77777777" w:rsidR="00101349" w:rsidRPr="00101349" w:rsidRDefault="00101349" w:rsidP="005D2A63">
      <w:pPr>
        <w:pStyle w:val="PR2"/>
      </w:pPr>
      <w:r w:rsidRPr="00101349">
        <w:t>Detailed description of equipment anchorage devices on which the certification is based and their installation requirements.</w:t>
      </w:r>
    </w:p>
    <w:p w14:paraId="2160F662" w14:textId="77777777" w:rsidR="00101349" w:rsidRPr="00101349" w:rsidRDefault="00101349" w:rsidP="00101349">
      <w:pPr>
        <w:pStyle w:val="ART"/>
        <w:tabs>
          <w:tab w:val="left" w:pos="864"/>
        </w:tabs>
        <w:rPr>
          <w:rFonts w:cs="Arial"/>
        </w:rPr>
      </w:pPr>
      <w:r w:rsidRPr="00101349">
        <w:rPr>
          <w:rFonts w:cs="Arial"/>
        </w:rPr>
        <w:t>CLOSEOUT SUBMITTALS</w:t>
      </w:r>
    </w:p>
    <w:p w14:paraId="1FD8C6ED" w14:textId="77777777" w:rsidR="00101349" w:rsidRPr="00101349" w:rsidRDefault="00101349" w:rsidP="005D2A63">
      <w:pPr>
        <w:pStyle w:val="PR1"/>
      </w:pPr>
      <w:r w:rsidRPr="005D2A63">
        <w:t>Operation</w:t>
      </w:r>
      <w:r w:rsidRPr="00101349">
        <w:t xml:space="preserve"> and Maintenance Data:  For enclosed bus assemblies to include in emergency, operation, and maintenance manuals.</w:t>
      </w:r>
    </w:p>
    <w:p w14:paraId="5A5423D9" w14:textId="77777777" w:rsidR="00101349" w:rsidRPr="00101349" w:rsidRDefault="00101349" w:rsidP="00101349">
      <w:pPr>
        <w:pStyle w:val="ART"/>
        <w:tabs>
          <w:tab w:val="left" w:pos="864"/>
        </w:tabs>
        <w:suppressAutoHyphens/>
        <w:jc w:val="both"/>
        <w:outlineLvl w:val="1"/>
        <w:rPr>
          <w:rFonts w:cs="Arial"/>
        </w:rPr>
      </w:pPr>
      <w:r w:rsidRPr="00101349">
        <w:rPr>
          <w:rFonts w:cs="Arial"/>
        </w:rPr>
        <w:t>QUALITY ASSURANCE</w:t>
      </w:r>
    </w:p>
    <w:p w14:paraId="68F02D0C" w14:textId="77777777" w:rsidR="00101349" w:rsidRPr="00101349" w:rsidRDefault="00101349" w:rsidP="005D2A63">
      <w:pPr>
        <w:pStyle w:val="PR1"/>
      </w:pPr>
      <w:r w:rsidRPr="00101349">
        <w:t>Testing Agency Qualifications:  An independent agency, with the experience and capability to conduct the testing indicated, that is a member company of the InterNational Electrical Testing Association or is a nationally recognized testing laboratory (NRTL) as defined by OSHA in 29 CFR 1910.7, and that is acceptable to authorities having jurisdiction.</w:t>
      </w:r>
    </w:p>
    <w:p w14:paraId="60FD10CE" w14:textId="77777777" w:rsidR="00101349" w:rsidRPr="00101349" w:rsidRDefault="00101349" w:rsidP="005D2A63">
      <w:pPr>
        <w:pStyle w:val="PR2"/>
      </w:pPr>
      <w:r w:rsidRPr="00101349">
        <w:t>Testing Agency's Field Supervisor:  Person currently certified by the InterNational Electrical Testing Association or the National Institute for Certification in Engineering Technologies to supervise on-site testing specified in Part 3.</w:t>
      </w:r>
    </w:p>
    <w:p w14:paraId="677A9ACE" w14:textId="77777777" w:rsidR="00101349" w:rsidRPr="00101349" w:rsidRDefault="00101349" w:rsidP="005D2A63">
      <w:pPr>
        <w:pStyle w:val="PR1"/>
      </w:pPr>
      <w:r w:rsidRPr="00101349">
        <w:t>Testing Agency Qualifications:  An independent agency, with the experience and capability to conduct the testing indicated, that is a nationally recognized testing laboratory (NRTL) as defined by OSHA in 29 CFR 1910.7, and that is acceptable to authorities having jurisdiction.</w:t>
      </w:r>
    </w:p>
    <w:p w14:paraId="6591C738" w14:textId="77777777" w:rsidR="00101349" w:rsidRPr="00101349" w:rsidRDefault="00101349" w:rsidP="005D2A63">
      <w:pPr>
        <w:pStyle w:val="PR1"/>
      </w:pPr>
      <w:r w:rsidRPr="00101349">
        <w:t xml:space="preserve">Source Limitations:  Obtain enclosed bus </w:t>
      </w:r>
      <w:r w:rsidRPr="005263CC">
        <w:t>plug-in devices</w:t>
      </w:r>
      <w:r w:rsidRPr="00101349">
        <w:t xml:space="preserve"> through one source from a single manufacturer.</w:t>
      </w:r>
    </w:p>
    <w:p w14:paraId="2494AF40" w14:textId="77777777" w:rsidR="00101349" w:rsidRPr="00101349" w:rsidRDefault="00101349" w:rsidP="005D2A63">
      <w:pPr>
        <w:pStyle w:val="PR1"/>
      </w:pPr>
      <w:r w:rsidRPr="00101349">
        <w:t>Electrical Components, Devices, and Accessories:  Listed and labeled as defined in NFPA 70, Article 100, by a testing agency acceptable to authorities having jurisdiction, and marked for intended use.</w:t>
      </w:r>
    </w:p>
    <w:p w14:paraId="7713E00C" w14:textId="77777777" w:rsidR="00101349" w:rsidRPr="00101349" w:rsidRDefault="00101349" w:rsidP="005D2A63">
      <w:pPr>
        <w:pStyle w:val="PR1"/>
      </w:pPr>
      <w:r w:rsidRPr="00101349">
        <w:t>Comply with NEMA BU 1, "Busways."</w:t>
      </w:r>
    </w:p>
    <w:p w14:paraId="5087163B" w14:textId="77777777" w:rsidR="00101349" w:rsidRPr="00101349" w:rsidRDefault="00101349" w:rsidP="005D2A63">
      <w:pPr>
        <w:pStyle w:val="PR1"/>
      </w:pPr>
      <w:r w:rsidRPr="00101349">
        <w:t>Comply with NFPA 70.</w:t>
      </w:r>
    </w:p>
    <w:p w14:paraId="696CC899" w14:textId="77777777" w:rsidR="00101349" w:rsidRPr="00101349" w:rsidRDefault="00101349" w:rsidP="00101349">
      <w:pPr>
        <w:pStyle w:val="ART"/>
        <w:tabs>
          <w:tab w:val="left" w:pos="864"/>
        </w:tabs>
        <w:rPr>
          <w:rFonts w:cs="Arial"/>
        </w:rPr>
      </w:pPr>
      <w:r w:rsidRPr="00101349">
        <w:rPr>
          <w:rFonts w:cs="Arial"/>
        </w:rPr>
        <w:lastRenderedPageBreak/>
        <w:t>DELIVERY, STORAGE, AND HANDLING</w:t>
      </w:r>
    </w:p>
    <w:p w14:paraId="0D587665" w14:textId="77777777" w:rsidR="00101349" w:rsidRPr="00101349" w:rsidRDefault="00101349" w:rsidP="005D2A63">
      <w:pPr>
        <w:pStyle w:val="PR1"/>
      </w:pPr>
      <w:r w:rsidRPr="00101349">
        <w:t xml:space="preserve">Deliver, store, and handle enclosed bus </w:t>
      </w:r>
      <w:r>
        <w:t>plug-in devices</w:t>
      </w:r>
      <w:r w:rsidRPr="00101349">
        <w:t xml:space="preserve"> according to NEMA BU 1.1, "General Instructions for Proper Handling, Installation, Operation and Maintenance of Busway Rated 600 Volts or Less."</w:t>
      </w:r>
    </w:p>
    <w:p w14:paraId="15C2A7E2" w14:textId="77777777" w:rsidR="00101349" w:rsidRPr="00101349" w:rsidRDefault="00101349" w:rsidP="00101349">
      <w:pPr>
        <w:pStyle w:val="PRT"/>
        <w:rPr>
          <w:rFonts w:cs="Arial"/>
        </w:rPr>
      </w:pPr>
      <w:r w:rsidRPr="00101349">
        <w:rPr>
          <w:rFonts w:cs="Arial"/>
        </w:rPr>
        <w:t>PRODUCTS</w:t>
      </w:r>
    </w:p>
    <w:p w14:paraId="67AF3C80" w14:textId="77777777" w:rsidR="00101349" w:rsidRPr="00101349" w:rsidRDefault="00101349" w:rsidP="00101349">
      <w:pPr>
        <w:pStyle w:val="ART"/>
        <w:tabs>
          <w:tab w:val="left" w:pos="864"/>
        </w:tabs>
        <w:rPr>
          <w:rFonts w:cs="Arial"/>
        </w:rPr>
      </w:pPr>
      <w:r w:rsidRPr="00101349">
        <w:rPr>
          <w:rFonts w:cs="Arial"/>
        </w:rPr>
        <w:t>MANUFACTURERS</w:t>
      </w:r>
    </w:p>
    <w:p w14:paraId="48B0EB91" w14:textId="23F44819" w:rsidR="00101349" w:rsidRPr="00101349" w:rsidRDefault="00101349" w:rsidP="005D2A63">
      <w:pPr>
        <w:pStyle w:val="PR1"/>
      </w:pPr>
      <w:r w:rsidRPr="00101349">
        <w:t>Manufacturers:  S</w:t>
      </w:r>
      <w:r>
        <w:t xml:space="preserve">hall match existing bus manufacturer </w:t>
      </w:r>
      <w:r w:rsidRPr="00101349">
        <w:t>:</w:t>
      </w:r>
    </w:p>
    <w:p w14:paraId="1E9CBA4A" w14:textId="77777777" w:rsidR="00101349" w:rsidRPr="00101349" w:rsidRDefault="00101349" w:rsidP="00101349">
      <w:pPr>
        <w:pStyle w:val="ART"/>
        <w:tabs>
          <w:tab w:val="left" w:pos="864"/>
        </w:tabs>
        <w:rPr>
          <w:rFonts w:cs="Arial"/>
        </w:rPr>
      </w:pPr>
      <w:r w:rsidRPr="00101349">
        <w:rPr>
          <w:rFonts w:cs="Arial"/>
        </w:rPr>
        <w:t>PLUG-IN DEVICES</w:t>
      </w:r>
    </w:p>
    <w:p w14:paraId="7DA37827" w14:textId="77777777" w:rsidR="00101349" w:rsidRPr="00101349" w:rsidRDefault="00101349" w:rsidP="005D2A63">
      <w:pPr>
        <w:pStyle w:val="PR1"/>
      </w:pPr>
      <w:r w:rsidRPr="00101349">
        <w:t>Plug in devices shall make a positive ground connection to the housing and shall not be connectable or removable while the unit is in the “on” position. Plug-in units shall be rated for the available fault current and conform with other applicable sections of these specifications.</w:t>
      </w:r>
    </w:p>
    <w:p w14:paraId="0345771E" w14:textId="77777777" w:rsidR="00101349" w:rsidRPr="00101349" w:rsidRDefault="00101349" w:rsidP="005D2A63">
      <w:pPr>
        <w:pStyle w:val="PR1"/>
      </w:pPr>
      <w:r w:rsidRPr="00101349">
        <w:t>Fusible Switches:  NEMA KS 1, heavy duty; with fuse clips to accommodate specified fuses; hookstick-operated handle, lockable with two padlocks, and interlocked with cover in closed position.  See Division 26 Section "Fuses" for fuses and fuse installation requirements.</w:t>
      </w:r>
    </w:p>
    <w:p w14:paraId="1AF7729F" w14:textId="77777777" w:rsidR="00101349" w:rsidRPr="00101349" w:rsidRDefault="00101349" w:rsidP="00101349">
      <w:pPr>
        <w:pStyle w:val="PRT"/>
        <w:rPr>
          <w:rFonts w:cs="Arial"/>
        </w:rPr>
      </w:pPr>
      <w:r w:rsidRPr="00101349">
        <w:rPr>
          <w:rFonts w:cs="Arial"/>
        </w:rPr>
        <w:t>EXECUTION</w:t>
      </w:r>
    </w:p>
    <w:p w14:paraId="21F50480" w14:textId="77777777" w:rsidR="00101349" w:rsidRPr="00101349" w:rsidRDefault="00101349" w:rsidP="00101349">
      <w:pPr>
        <w:pStyle w:val="ART"/>
        <w:tabs>
          <w:tab w:val="left" w:pos="864"/>
        </w:tabs>
        <w:rPr>
          <w:rFonts w:cs="Arial"/>
        </w:rPr>
      </w:pPr>
      <w:r w:rsidRPr="00101349">
        <w:rPr>
          <w:rFonts w:cs="Arial"/>
        </w:rPr>
        <w:t>INSTALLATION</w:t>
      </w:r>
    </w:p>
    <w:p w14:paraId="4FBA5899" w14:textId="77777777" w:rsidR="00101349" w:rsidRPr="00101349" w:rsidRDefault="00101349" w:rsidP="005D2A63">
      <w:pPr>
        <w:pStyle w:val="PR1"/>
      </w:pPr>
      <w:r>
        <w:t xml:space="preserve">Install bus </w:t>
      </w:r>
      <w:r w:rsidRPr="00101349">
        <w:t>plug-in units.  Support connecting conduit independent of plug-in unit.</w:t>
      </w:r>
    </w:p>
    <w:p w14:paraId="3AE5C4F7" w14:textId="77777777" w:rsidR="00101349" w:rsidRPr="00101349" w:rsidRDefault="00101349" w:rsidP="005D2A63">
      <w:pPr>
        <w:pStyle w:val="PR2"/>
      </w:pPr>
      <w:r w:rsidRPr="00101349">
        <w:t>Hangers shall not be installed so as to block plug-in openings.</w:t>
      </w:r>
    </w:p>
    <w:p w14:paraId="1BC21A57" w14:textId="77777777" w:rsidR="00101349" w:rsidRPr="00101349" w:rsidRDefault="00101349" w:rsidP="005D2A63">
      <w:pPr>
        <w:pStyle w:val="PR2"/>
      </w:pPr>
      <w:r w:rsidRPr="00101349">
        <w:t>Hangers shall be sway braced for unbalanced weight of plug-in units plus weight of a 250 lb person on a ladder at the height of the busway installation.</w:t>
      </w:r>
    </w:p>
    <w:p w14:paraId="00793095" w14:textId="77777777" w:rsidR="00101349" w:rsidRPr="00101349" w:rsidRDefault="00101349" w:rsidP="005D2A63">
      <w:pPr>
        <w:pStyle w:val="PR2"/>
      </w:pPr>
      <w:r w:rsidRPr="00101349">
        <w:t>Provide flexible raceway connection to plug-in units to permit removal.</w:t>
      </w:r>
    </w:p>
    <w:p w14:paraId="444987B7" w14:textId="77777777" w:rsidR="00101349" w:rsidRPr="00101349" w:rsidRDefault="00101349" w:rsidP="00101349">
      <w:pPr>
        <w:pStyle w:val="ART"/>
        <w:tabs>
          <w:tab w:val="left" w:pos="864"/>
        </w:tabs>
        <w:rPr>
          <w:rFonts w:cs="Arial"/>
        </w:rPr>
      </w:pPr>
      <w:r w:rsidRPr="00101349">
        <w:rPr>
          <w:rFonts w:cs="Arial"/>
        </w:rPr>
        <w:t>CONNECTIONS</w:t>
      </w:r>
    </w:p>
    <w:p w14:paraId="53E84B2D" w14:textId="77777777" w:rsidR="00101349" w:rsidRPr="00101349" w:rsidRDefault="00101349" w:rsidP="005D2A63">
      <w:pPr>
        <w:pStyle w:val="PR1"/>
      </w:pPr>
      <w:r w:rsidRPr="00101349">
        <w:t>Ground equipment according to Division 26 Section "Grounding and Bonding for Electrical Systems."</w:t>
      </w:r>
    </w:p>
    <w:p w14:paraId="1198DE88" w14:textId="77777777" w:rsidR="00101349" w:rsidRPr="00101349" w:rsidRDefault="00101349" w:rsidP="005D2A63">
      <w:pPr>
        <w:pStyle w:val="PR1"/>
      </w:pPr>
      <w:r w:rsidRPr="00101349">
        <w:t>Connect wiring according to Division 26 Section "Low-Voltage Electrical Power Conductors and Cables."</w:t>
      </w:r>
    </w:p>
    <w:p w14:paraId="309DD170" w14:textId="77777777" w:rsidR="00101349" w:rsidRPr="00101349" w:rsidRDefault="00101349" w:rsidP="00101349">
      <w:pPr>
        <w:pStyle w:val="ART"/>
        <w:tabs>
          <w:tab w:val="left" w:pos="864"/>
        </w:tabs>
        <w:rPr>
          <w:rFonts w:cs="Arial"/>
        </w:rPr>
      </w:pPr>
      <w:r w:rsidRPr="00101349">
        <w:rPr>
          <w:rFonts w:cs="Arial"/>
        </w:rPr>
        <w:t>FIELD QUALITY CONTROL</w:t>
      </w:r>
    </w:p>
    <w:p w14:paraId="31787AD9" w14:textId="77777777" w:rsidR="00101349" w:rsidRPr="00101349" w:rsidRDefault="00101349" w:rsidP="005D2A63">
      <w:pPr>
        <w:pStyle w:val="PR1"/>
      </w:pPr>
      <w:r w:rsidRPr="00101349">
        <w:t>Perform tests and inspections and prepare test reports.</w:t>
      </w:r>
    </w:p>
    <w:p w14:paraId="760DA368" w14:textId="77777777" w:rsidR="00101349" w:rsidRPr="00101349" w:rsidRDefault="00101349" w:rsidP="005D2A63">
      <w:pPr>
        <w:pStyle w:val="PR1"/>
      </w:pPr>
      <w:r w:rsidRPr="00101349">
        <w:t>Tests and Inspections:</w:t>
      </w:r>
    </w:p>
    <w:p w14:paraId="0442BF0D" w14:textId="77777777" w:rsidR="00101349" w:rsidRPr="00101349" w:rsidRDefault="00101349" w:rsidP="005D2A63">
      <w:pPr>
        <w:pStyle w:val="PR2"/>
      </w:pPr>
      <w:r w:rsidRPr="00101349">
        <w:t>Tests referenced in subparagraph below are from NETA Acceptance Testing Specification and include inspection procedures to verify proper installation.  They also in</w:t>
      </w:r>
      <w:r w:rsidRPr="00101349">
        <w:lastRenderedPageBreak/>
        <w:t>clude tests and measurements of insulation resistance and turns ratios.  Cost of extensive testing may not be warranted for some projects.  Revise subparagraph to suit Project.</w:t>
      </w:r>
    </w:p>
    <w:p w14:paraId="0FA8095A" w14:textId="77777777" w:rsidR="00101349" w:rsidRPr="00101349" w:rsidRDefault="00101349" w:rsidP="005D2A63">
      <w:pPr>
        <w:pStyle w:val="PR2"/>
      </w:pPr>
      <w:r w:rsidRPr="00101349">
        <w:t>Perform each visual and mechanical inspection and electrical test stated in NETA Acceptance Testing Specification.  Certify compliance with test parameters.</w:t>
      </w:r>
    </w:p>
    <w:p w14:paraId="3C7B7AF1" w14:textId="77777777" w:rsidR="00101349" w:rsidRPr="00101349" w:rsidRDefault="00101349" w:rsidP="005D2A63">
      <w:pPr>
        <w:pStyle w:val="PR1"/>
      </w:pPr>
      <w:r w:rsidRPr="00101349">
        <w:t>Remove and replace units that do not pass tests and inspections and retest as specified above.</w:t>
      </w:r>
    </w:p>
    <w:p w14:paraId="682840B2" w14:textId="77777777" w:rsidR="00101349" w:rsidRPr="00101349" w:rsidRDefault="00101349" w:rsidP="005D2A63">
      <w:pPr>
        <w:pStyle w:val="PR1"/>
      </w:pPr>
      <w:r w:rsidRPr="00101349">
        <w:t>Test Labeling:  On completion of satisfactory testing of each unit, attach a dated and signed "Satisfactory Test" label to tested component.</w:t>
      </w:r>
    </w:p>
    <w:p w14:paraId="6B46E200" w14:textId="77777777" w:rsidR="00101349" w:rsidRPr="00101349" w:rsidRDefault="00101349" w:rsidP="00101349">
      <w:pPr>
        <w:pStyle w:val="ART"/>
        <w:tabs>
          <w:tab w:val="left" w:pos="864"/>
        </w:tabs>
        <w:rPr>
          <w:rFonts w:cs="Arial"/>
        </w:rPr>
      </w:pPr>
      <w:r w:rsidRPr="00101349">
        <w:rPr>
          <w:rFonts w:cs="Arial"/>
        </w:rPr>
        <w:t>CLEANING</w:t>
      </w:r>
    </w:p>
    <w:p w14:paraId="19590513" w14:textId="77777777" w:rsidR="00101349" w:rsidRPr="00101349" w:rsidRDefault="00101349" w:rsidP="005D2A63">
      <w:pPr>
        <w:pStyle w:val="PR1"/>
      </w:pPr>
      <w:r w:rsidRPr="00101349">
        <w:t>Vacuum dirt and debris; do not use compressed air to assist in cleaning.</w:t>
      </w:r>
    </w:p>
    <w:p w14:paraId="0724731C" w14:textId="77777777" w:rsidR="00101349" w:rsidRPr="00101349" w:rsidRDefault="00101349" w:rsidP="00101349">
      <w:pPr>
        <w:pStyle w:val="ART"/>
        <w:tabs>
          <w:tab w:val="left" w:pos="864"/>
        </w:tabs>
        <w:rPr>
          <w:rFonts w:cs="Arial"/>
        </w:rPr>
      </w:pPr>
      <w:r w:rsidRPr="00101349">
        <w:rPr>
          <w:rFonts w:cs="Arial"/>
        </w:rPr>
        <w:t>PROTECTION</w:t>
      </w:r>
    </w:p>
    <w:p w14:paraId="1C60BE68" w14:textId="77777777" w:rsidR="00101349" w:rsidRPr="00101349" w:rsidRDefault="00101349" w:rsidP="005D2A63">
      <w:pPr>
        <w:pStyle w:val="PR1"/>
      </w:pPr>
      <w:r w:rsidRPr="00101349">
        <w:t>Provide final protection to ensure that moisture does not enter bus assembly.</w:t>
      </w:r>
    </w:p>
    <w:p w14:paraId="46756F54" w14:textId="77777777" w:rsidR="00265945" w:rsidRPr="005D2A63" w:rsidRDefault="00BA40E7" w:rsidP="00BA40E7">
      <w:pPr>
        <w:pStyle w:val="EOS"/>
        <w:tabs>
          <w:tab w:val="center" w:pos="4320"/>
        </w:tabs>
        <w:jc w:val="left"/>
        <w:rPr>
          <w:rFonts w:cs="Arial"/>
          <w:b/>
        </w:rPr>
      </w:pPr>
      <w:r w:rsidRPr="005D2A63">
        <w:rPr>
          <w:rFonts w:cs="Arial"/>
          <w:b/>
        </w:rPr>
        <w:tab/>
      </w:r>
      <w:r w:rsidR="004F3104" w:rsidRPr="005D2A63">
        <w:rPr>
          <w:rFonts w:cs="Arial"/>
          <w:b/>
        </w:rPr>
        <w:t>END OF SECTION</w:t>
      </w:r>
    </w:p>
    <w:sectPr w:rsidR="00265945" w:rsidRPr="005D2A63" w:rsidSect="00182DB3">
      <w:headerReference w:type="default" r:id="rId11"/>
      <w:pgSz w:w="12240" w:h="15840"/>
      <w:pgMar w:top="1440" w:right="1440" w:bottom="1440" w:left="1440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BF7A13" w14:textId="77777777" w:rsidR="001D1A58" w:rsidRDefault="001D1A58">
      <w:r>
        <w:separator/>
      </w:r>
    </w:p>
  </w:endnote>
  <w:endnote w:type="continuationSeparator" w:id="0">
    <w:p w14:paraId="12B7D576" w14:textId="77777777" w:rsidR="001D1A58" w:rsidRDefault="001D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7DAED6" w14:textId="77777777" w:rsidR="001D1A58" w:rsidRDefault="001D1A58">
      <w:r>
        <w:separator/>
      </w:r>
    </w:p>
  </w:footnote>
  <w:footnote w:type="continuationSeparator" w:id="0">
    <w:p w14:paraId="3EB88668" w14:textId="77777777" w:rsidR="001D1A58" w:rsidRDefault="001D1A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450" w:type="dxa"/>
      <w:tblInd w:w="-90" w:type="dxa"/>
      <w:tblLook w:val="04A0" w:firstRow="1" w:lastRow="0" w:firstColumn="1" w:lastColumn="0" w:noHBand="0" w:noVBand="1"/>
    </w:tblPr>
    <w:tblGrid>
      <w:gridCol w:w="4428"/>
      <w:gridCol w:w="5022"/>
    </w:tblGrid>
    <w:tr w:rsidR="00182DB3" w:rsidRPr="007D5E04" w14:paraId="05A62F8E" w14:textId="77777777" w:rsidTr="002A6BC1">
      <w:trPr>
        <w:trHeight w:val="720"/>
      </w:trPr>
      <w:tc>
        <w:tcPr>
          <w:tcW w:w="4428" w:type="dxa"/>
        </w:tcPr>
        <w:p w14:paraId="640541AF" w14:textId="77777777" w:rsidR="00182DB3" w:rsidRDefault="00182DB3" w:rsidP="00182DB3">
          <w:pPr>
            <w:pStyle w:val="Header"/>
            <w:tabs>
              <w:tab w:val="left" w:pos="720"/>
            </w:tabs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sz w:val="18"/>
              <w:szCs w:val="18"/>
            </w:rPr>
            <w:t>UWMC Master Specification</w:t>
          </w:r>
        </w:p>
        <w:p w14:paraId="38B5C16C" w14:textId="77777777" w:rsidR="00182DB3" w:rsidRDefault="00182DB3" w:rsidP="00182DB3">
          <w:pPr>
            <w:pStyle w:val="Header"/>
            <w:tabs>
              <w:tab w:val="left" w:pos="720"/>
            </w:tabs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sz w:val="18"/>
              <w:szCs w:val="18"/>
            </w:rPr>
            <w:t>UW Project No.  204975</w:t>
          </w:r>
        </w:p>
        <w:p w14:paraId="2FCA26D3" w14:textId="77777777" w:rsidR="00182DB3" w:rsidRDefault="00182DB3" w:rsidP="00182DB3">
          <w:pPr>
            <w:pStyle w:val="Header"/>
            <w:tabs>
              <w:tab w:val="left" w:pos="720"/>
            </w:tabs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sz w:val="18"/>
              <w:szCs w:val="18"/>
            </w:rPr>
            <w:t>Buffalo Design</w:t>
          </w:r>
        </w:p>
        <w:p w14:paraId="79403747" w14:textId="77C94476" w:rsidR="00182DB3" w:rsidRPr="00DF2FF1" w:rsidRDefault="002A6BC1" w:rsidP="00182DB3">
          <w:pPr>
            <w:rPr>
              <w:rFonts w:cs="Arial"/>
              <w:sz w:val="16"/>
              <w:szCs w:val="16"/>
            </w:rPr>
          </w:pPr>
          <w:r>
            <w:rPr>
              <w:rFonts w:cs="Arial"/>
              <w:sz w:val="18"/>
              <w:szCs w:val="18"/>
            </w:rPr>
            <w:t>13 July 2018</w:t>
          </w:r>
        </w:p>
      </w:tc>
      <w:tc>
        <w:tcPr>
          <w:tcW w:w="5022" w:type="dxa"/>
        </w:tcPr>
        <w:p w14:paraId="2F959BB3" w14:textId="77777777" w:rsidR="00182DB3" w:rsidRPr="007D5E04" w:rsidRDefault="00182DB3" w:rsidP="00182DB3">
          <w:pPr>
            <w:ind w:right="-108"/>
            <w:jc w:val="right"/>
            <w:rPr>
              <w:rFonts w:cs="Arial"/>
              <w:sz w:val="16"/>
              <w:szCs w:val="16"/>
            </w:rPr>
          </w:pPr>
          <w:r>
            <w:rPr>
              <w:rFonts w:cs="Arial"/>
              <w:sz w:val="16"/>
              <w:szCs w:val="16"/>
            </w:rPr>
            <w:t xml:space="preserve">Section 26 25 </w:t>
          </w:r>
          <w:r w:rsidRPr="007D5E04">
            <w:rPr>
              <w:rFonts w:cs="Arial"/>
              <w:sz w:val="16"/>
              <w:szCs w:val="16"/>
            </w:rPr>
            <w:t>00</w:t>
          </w:r>
        </w:p>
        <w:p w14:paraId="1982F414" w14:textId="77777777" w:rsidR="00182DB3" w:rsidRDefault="00182DB3" w:rsidP="00182DB3">
          <w:pPr>
            <w:ind w:right="-108"/>
            <w:jc w:val="right"/>
            <w:rPr>
              <w:rFonts w:cs="Arial"/>
              <w:b/>
              <w:szCs w:val="24"/>
            </w:rPr>
          </w:pPr>
          <w:r w:rsidRPr="00182DB3">
            <w:rPr>
              <w:rFonts w:cs="Arial"/>
              <w:b/>
              <w:szCs w:val="24"/>
            </w:rPr>
            <w:t>ENCLOSED BUS ASSEMBLIES</w:t>
          </w:r>
        </w:p>
        <w:p w14:paraId="4FDA52C5" w14:textId="77777777" w:rsidR="00182DB3" w:rsidRPr="007D5E04" w:rsidRDefault="00182DB3" w:rsidP="00182DB3">
          <w:pPr>
            <w:ind w:right="-108"/>
            <w:jc w:val="right"/>
            <w:rPr>
              <w:rFonts w:cs="Arial"/>
              <w:b/>
              <w:sz w:val="16"/>
              <w:szCs w:val="16"/>
            </w:rPr>
          </w:pPr>
          <w:r w:rsidRPr="007D5E04">
            <w:rPr>
              <w:rFonts w:cs="Arial"/>
              <w:sz w:val="16"/>
              <w:szCs w:val="16"/>
            </w:rPr>
            <w:t xml:space="preserve">Page </w:t>
          </w:r>
          <w:r w:rsidRPr="007D5E04">
            <w:rPr>
              <w:rStyle w:val="PageNumber"/>
              <w:rFonts w:cs="Arial"/>
              <w:sz w:val="16"/>
              <w:szCs w:val="16"/>
            </w:rPr>
            <w:fldChar w:fldCharType="begin"/>
          </w:r>
          <w:r w:rsidRPr="007D5E04">
            <w:rPr>
              <w:rStyle w:val="PageNumber"/>
              <w:rFonts w:cs="Arial"/>
              <w:sz w:val="16"/>
              <w:szCs w:val="16"/>
            </w:rPr>
            <w:instrText xml:space="preserve"> PAGE </w:instrText>
          </w:r>
          <w:r w:rsidRPr="007D5E04">
            <w:rPr>
              <w:rStyle w:val="PageNumber"/>
              <w:rFonts w:cs="Arial"/>
              <w:sz w:val="16"/>
              <w:szCs w:val="16"/>
            </w:rPr>
            <w:fldChar w:fldCharType="separate"/>
          </w:r>
          <w:r w:rsidR="006F5962">
            <w:rPr>
              <w:rStyle w:val="PageNumber"/>
              <w:rFonts w:cs="Arial"/>
              <w:noProof/>
              <w:sz w:val="16"/>
              <w:szCs w:val="16"/>
            </w:rPr>
            <w:t>1</w:t>
          </w:r>
          <w:r w:rsidRPr="007D5E04">
            <w:rPr>
              <w:rStyle w:val="PageNumber"/>
              <w:rFonts w:cs="Arial"/>
              <w:sz w:val="16"/>
              <w:szCs w:val="16"/>
            </w:rPr>
            <w:fldChar w:fldCharType="end"/>
          </w:r>
          <w:r w:rsidRPr="007D5E04">
            <w:rPr>
              <w:rStyle w:val="PageNumber"/>
              <w:rFonts w:cs="Arial"/>
              <w:sz w:val="16"/>
              <w:szCs w:val="16"/>
            </w:rPr>
            <w:t xml:space="preserve"> of </w:t>
          </w:r>
          <w:r w:rsidRPr="007D5E04">
            <w:rPr>
              <w:rStyle w:val="PageNumber"/>
              <w:rFonts w:cs="Arial"/>
              <w:sz w:val="16"/>
              <w:szCs w:val="16"/>
            </w:rPr>
            <w:fldChar w:fldCharType="begin"/>
          </w:r>
          <w:r w:rsidRPr="007D5E04">
            <w:rPr>
              <w:rStyle w:val="PageNumber"/>
              <w:rFonts w:cs="Arial"/>
              <w:sz w:val="16"/>
              <w:szCs w:val="16"/>
            </w:rPr>
            <w:instrText xml:space="preserve"> NUMPAGES </w:instrText>
          </w:r>
          <w:r w:rsidRPr="007D5E04">
            <w:rPr>
              <w:rStyle w:val="PageNumber"/>
              <w:rFonts w:cs="Arial"/>
              <w:sz w:val="16"/>
              <w:szCs w:val="16"/>
            </w:rPr>
            <w:fldChar w:fldCharType="separate"/>
          </w:r>
          <w:r w:rsidR="006F5962">
            <w:rPr>
              <w:rStyle w:val="PageNumber"/>
              <w:rFonts w:cs="Arial"/>
              <w:noProof/>
              <w:sz w:val="16"/>
              <w:szCs w:val="16"/>
            </w:rPr>
            <w:t>3</w:t>
          </w:r>
          <w:r w:rsidRPr="007D5E04">
            <w:rPr>
              <w:rStyle w:val="PageNumber"/>
              <w:rFonts w:cs="Arial"/>
              <w:sz w:val="16"/>
              <w:szCs w:val="16"/>
            </w:rPr>
            <w:fldChar w:fldCharType="end"/>
          </w:r>
        </w:p>
      </w:tc>
    </w:tr>
  </w:tbl>
  <w:p w14:paraId="537B01D9" w14:textId="77777777" w:rsidR="00182DB3" w:rsidRDefault="00182DB3" w:rsidP="00182DB3">
    <w:pPr>
      <w:tabs>
        <w:tab w:val="decimal" w:pos="9216"/>
      </w:tabs>
      <w:rPr>
        <w:rFonts w:cs="Arial"/>
      </w:rPr>
    </w:pPr>
  </w:p>
  <w:p w14:paraId="3102C291" w14:textId="77777777" w:rsidR="00D81B26" w:rsidRPr="00182DB3" w:rsidRDefault="00D81B26" w:rsidP="00182DB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C0C0F950"/>
    <w:name w:val="MASTERSPEC"/>
    <w:lvl w:ilvl="0">
      <w:start w:val="1"/>
      <w:numFmt w:val="decimal"/>
      <w:pStyle w:val="PRT"/>
      <w:suff w:val="nothing"/>
      <w:lvlText w:val="PART %1 - "/>
      <w:lvlJc w:val="left"/>
    </w:lvl>
    <w:lvl w:ilvl="1">
      <w:numFmt w:val="decimal"/>
      <w:pStyle w:val="SUT"/>
      <w:suff w:val="nothing"/>
      <w:lvlText w:val="SCHEDULE %2 - "/>
      <w:lvlJc w:val="left"/>
    </w:lvl>
    <w:lvl w:ilvl="2">
      <w:numFmt w:val="decimal"/>
      <w:suff w:val="nothing"/>
      <w:lvlText w:val="PRODUCT DATA SHEET %3 - "/>
      <w:lvlJc w:val="left"/>
    </w:lvl>
    <w:lvl w:ilvl="3">
      <w:start w:val="1"/>
      <w:numFmt w:val="decimal"/>
      <w:pStyle w:val="ART"/>
      <w:lvlText w:val="%1.%4"/>
      <w:lvlJc w:val="left"/>
      <w:pPr>
        <w:tabs>
          <w:tab w:val="left" w:pos="864"/>
        </w:tabs>
        <w:ind w:left="864" w:hanging="864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upperLetter"/>
      <w:pStyle w:val="PR1"/>
      <w:lvlText w:val="%5."/>
      <w:lvlJc w:val="left"/>
      <w:pPr>
        <w:tabs>
          <w:tab w:val="left" w:pos="864"/>
        </w:tabs>
        <w:ind w:left="864" w:hanging="576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5">
      <w:start w:val="1"/>
      <w:numFmt w:val="decimal"/>
      <w:pStyle w:val="PR2"/>
      <w:lvlText w:val="%6."/>
      <w:lvlJc w:val="left"/>
      <w:pPr>
        <w:tabs>
          <w:tab w:val="left" w:pos="1440"/>
        </w:tabs>
        <w:ind w:left="1440" w:hanging="576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6">
      <w:start w:val="1"/>
      <w:numFmt w:val="lowerLetter"/>
      <w:pStyle w:val="PR3"/>
      <w:lvlText w:val="%7."/>
      <w:lvlJc w:val="left"/>
      <w:pPr>
        <w:tabs>
          <w:tab w:val="left" w:pos="2016"/>
        </w:tabs>
        <w:ind w:left="2016" w:hanging="576"/>
      </w:pPr>
    </w:lvl>
    <w:lvl w:ilvl="7">
      <w:start w:val="1"/>
      <w:numFmt w:val="decimal"/>
      <w:pStyle w:val="PR4"/>
      <w:lvlText w:val="%8)"/>
      <w:lvlJc w:val="left"/>
      <w:pPr>
        <w:tabs>
          <w:tab w:val="left" w:pos="2592"/>
        </w:tabs>
        <w:ind w:left="2592" w:hanging="576"/>
      </w:pPr>
    </w:lvl>
    <w:lvl w:ilvl="8">
      <w:start w:val="1"/>
      <w:numFmt w:val="lowerLetter"/>
      <w:pStyle w:val="PR5"/>
      <w:lvlText w:val="%9)"/>
      <w:lvlJc w:val="left"/>
      <w:pPr>
        <w:tabs>
          <w:tab w:val="left" w:pos="3168"/>
        </w:tabs>
        <w:ind w:left="3168" w:hanging="576"/>
      </w:pPr>
    </w:lvl>
  </w:abstractNum>
  <w:abstractNum w:abstractNumId="1" w15:restartNumberingAfterBreak="0">
    <w:nsid w:val="632A0549"/>
    <w:multiLevelType w:val="multilevel"/>
    <w:tmpl w:val="F03CF11E"/>
    <w:lvl w:ilvl="0">
      <w:start w:val="1"/>
      <w:numFmt w:val="decimal"/>
      <w:suff w:val="nothing"/>
      <w:lvlText w:val="PART %1 - "/>
      <w:lvlJc w:val="left"/>
    </w:lvl>
    <w:lvl w:ilvl="1">
      <w:numFmt w:val="decimal"/>
      <w:suff w:val="nothing"/>
      <w:lvlText w:val="SCHEDULE %2 - "/>
      <w:lvlJc w:val="left"/>
    </w:lvl>
    <w:lvl w:ilvl="2">
      <w:numFmt w:val="decimal"/>
      <w:suff w:val="nothing"/>
      <w:lvlText w:val="PRODUCT DATA SHEET %3 - "/>
      <w:lvlJc w:val="left"/>
    </w:lvl>
    <w:lvl w:ilvl="3">
      <w:start w:val="1"/>
      <w:numFmt w:val="decimal"/>
      <w:lvlText w:val="%1.%4"/>
      <w:lvlJc w:val="left"/>
      <w:pPr>
        <w:tabs>
          <w:tab w:val="left" w:pos="864"/>
        </w:tabs>
        <w:ind w:left="864" w:hanging="864"/>
      </w:pPr>
    </w:lvl>
    <w:lvl w:ilvl="4">
      <w:start w:val="1"/>
      <w:numFmt w:val="upperLetter"/>
      <w:lvlText w:val="%5."/>
      <w:lvlJc w:val="left"/>
      <w:pPr>
        <w:tabs>
          <w:tab w:val="left" w:pos="864"/>
        </w:tabs>
        <w:ind w:left="864" w:hanging="576"/>
      </w:pPr>
    </w:lvl>
    <w:lvl w:ilvl="5">
      <w:start w:val="1"/>
      <w:numFmt w:val="decimal"/>
      <w:lvlText w:val="%6."/>
      <w:lvlJc w:val="left"/>
      <w:pPr>
        <w:tabs>
          <w:tab w:val="left" w:pos="1440"/>
        </w:tabs>
        <w:ind w:left="1440" w:hanging="576"/>
      </w:pPr>
    </w:lvl>
    <w:lvl w:ilvl="6">
      <w:start w:val="1"/>
      <w:numFmt w:val="lowerLetter"/>
      <w:lvlText w:val="%7."/>
      <w:lvlJc w:val="left"/>
      <w:pPr>
        <w:tabs>
          <w:tab w:val="left" w:pos="2016"/>
        </w:tabs>
        <w:ind w:left="2016" w:hanging="576"/>
      </w:pPr>
    </w:lvl>
    <w:lvl w:ilvl="7">
      <w:start w:val="1"/>
      <w:numFmt w:val="decimal"/>
      <w:lvlText w:val="%8)"/>
      <w:lvlJc w:val="left"/>
      <w:pPr>
        <w:tabs>
          <w:tab w:val="left" w:pos="2592"/>
        </w:tabs>
        <w:ind w:left="2592" w:hanging="576"/>
      </w:pPr>
    </w:lvl>
    <w:lvl w:ilvl="8">
      <w:start w:val="1"/>
      <w:numFmt w:val="lowerLetter"/>
      <w:lvlText w:val="%9)"/>
      <w:lvlJc w:val="left"/>
      <w:pPr>
        <w:tabs>
          <w:tab w:val="left" w:pos="3168"/>
        </w:tabs>
        <w:ind w:left="3168" w:hanging="576"/>
      </w:pPr>
    </w:lvl>
  </w:abstractNum>
  <w:num w:numId="1" w16cid:durableId="1885604610">
    <w:abstractNumId w:val="0"/>
  </w:num>
  <w:num w:numId="2" w16cid:durableId="196758892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mirrorMargin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efaultTabStop w:val="360"/>
  <w:autoHyphenation/>
  <w:doNotHyphenateCaps/>
  <w:drawingGridHorizontalSpacing w:val="100"/>
  <w:drawingGridVerticalSpacing w:val="0"/>
  <w:displayHorizontalDrawingGridEvery w:val="0"/>
  <w:displayVerticalDrawingGridEvery w:val="0"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pos w:val="sectEnd"/>
    <w:endnote w:id="-1"/>
    <w:endnote w:id="0"/>
  </w:endnotePr>
  <w:compat>
    <w:suppressTopSpacing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5945"/>
    <w:rsid w:val="00001370"/>
    <w:rsid w:val="000B13A4"/>
    <w:rsid w:val="000E1376"/>
    <w:rsid w:val="000F297C"/>
    <w:rsid w:val="00101349"/>
    <w:rsid w:val="0010419C"/>
    <w:rsid w:val="00156E2E"/>
    <w:rsid w:val="00177E1B"/>
    <w:rsid w:val="00182DB3"/>
    <w:rsid w:val="001D1A58"/>
    <w:rsid w:val="001F6352"/>
    <w:rsid w:val="002151C0"/>
    <w:rsid w:val="00222F43"/>
    <w:rsid w:val="002401EB"/>
    <w:rsid w:val="00255FF3"/>
    <w:rsid w:val="00265945"/>
    <w:rsid w:val="00291E92"/>
    <w:rsid w:val="0029745D"/>
    <w:rsid w:val="002A6BC1"/>
    <w:rsid w:val="002B591C"/>
    <w:rsid w:val="002D2901"/>
    <w:rsid w:val="002E0B63"/>
    <w:rsid w:val="002F1A83"/>
    <w:rsid w:val="003064C2"/>
    <w:rsid w:val="003A2B6D"/>
    <w:rsid w:val="003F7E0E"/>
    <w:rsid w:val="004B214F"/>
    <w:rsid w:val="004E383C"/>
    <w:rsid w:val="004E3C4B"/>
    <w:rsid w:val="004F3104"/>
    <w:rsid w:val="0052148D"/>
    <w:rsid w:val="005263CC"/>
    <w:rsid w:val="005B44E8"/>
    <w:rsid w:val="005D2A63"/>
    <w:rsid w:val="00643B7D"/>
    <w:rsid w:val="00684269"/>
    <w:rsid w:val="006F5962"/>
    <w:rsid w:val="007003A9"/>
    <w:rsid w:val="00726409"/>
    <w:rsid w:val="0074697A"/>
    <w:rsid w:val="00777A7A"/>
    <w:rsid w:val="007860F0"/>
    <w:rsid w:val="007C38E4"/>
    <w:rsid w:val="007C6E7C"/>
    <w:rsid w:val="00816322"/>
    <w:rsid w:val="008250CA"/>
    <w:rsid w:val="00845491"/>
    <w:rsid w:val="00860B27"/>
    <w:rsid w:val="00887AA3"/>
    <w:rsid w:val="008B63CA"/>
    <w:rsid w:val="008F3403"/>
    <w:rsid w:val="00992053"/>
    <w:rsid w:val="009E70F3"/>
    <w:rsid w:val="00A044A9"/>
    <w:rsid w:val="00A07FAF"/>
    <w:rsid w:val="00A56604"/>
    <w:rsid w:val="00A84918"/>
    <w:rsid w:val="00A9340A"/>
    <w:rsid w:val="00AA1915"/>
    <w:rsid w:val="00AB675D"/>
    <w:rsid w:val="00AC21E1"/>
    <w:rsid w:val="00B306C0"/>
    <w:rsid w:val="00B908DD"/>
    <w:rsid w:val="00B96466"/>
    <w:rsid w:val="00BA40E7"/>
    <w:rsid w:val="00BA7B6A"/>
    <w:rsid w:val="00C979E7"/>
    <w:rsid w:val="00CB3535"/>
    <w:rsid w:val="00D1092B"/>
    <w:rsid w:val="00D35AD3"/>
    <w:rsid w:val="00D376EF"/>
    <w:rsid w:val="00D47F01"/>
    <w:rsid w:val="00D81B26"/>
    <w:rsid w:val="00D94117"/>
    <w:rsid w:val="00DB5CD7"/>
    <w:rsid w:val="00DD3D1A"/>
    <w:rsid w:val="00DE1442"/>
    <w:rsid w:val="00DF536A"/>
    <w:rsid w:val="00E0408D"/>
    <w:rsid w:val="00E04A42"/>
    <w:rsid w:val="00E06929"/>
    <w:rsid w:val="00EC5174"/>
    <w:rsid w:val="00EE772C"/>
    <w:rsid w:val="00EF2826"/>
    <w:rsid w:val="00EF6987"/>
    <w:rsid w:val="00F05E2A"/>
    <w:rsid w:val="00F33519"/>
    <w:rsid w:val="00F719A3"/>
    <w:rsid w:val="00F77608"/>
    <w:rsid w:val="00F84D9F"/>
    <w:rsid w:val="00FC6FC4"/>
    <w:rsid w:val="00FE74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A5F2012"/>
  <w15:chartTrackingRefBased/>
  <w15:docId w15:val="{B5064B53-0C7A-49A2-B83E-378C844EB5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Typewriter" w:semiHidden="1" w:unhideWhenUsed="1"/>
    <w:lsdException w:name="Normal Table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F3104"/>
    <w:rPr>
      <w:rFonts w:ascii="Arial" w:hAnsi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DR">
    <w:name w:val="HDR"/>
    <w:basedOn w:val="Normal"/>
    <w:rsid w:val="00AC21E1"/>
    <w:pPr>
      <w:tabs>
        <w:tab w:val="center" w:pos="4320"/>
        <w:tab w:val="right" w:pos="8640"/>
      </w:tabs>
    </w:pPr>
  </w:style>
  <w:style w:type="paragraph" w:customStyle="1" w:styleId="FTR">
    <w:name w:val="FTR"/>
    <w:basedOn w:val="Normal"/>
    <w:rsid w:val="00AC21E1"/>
    <w:pPr>
      <w:tabs>
        <w:tab w:val="center" w:pos="4320"/>
        <w:tab w:val="right" w:pos="8640"/>
      </w:tabs>
    </w:pPr>
  </w:style>
  <w:style w:type="paragraph" w:customStyle="1" w:styleId="SCT">
    <w:name w:val="SCT"/>
    <w:basedOn w:val="Normal"/>
    <w:next w:val="PRT"/>
    <w:rsid w:val="00AC21E1"/>
    <w:pPr>
      <w:spacing w:before="240"/>
      <w:jc w:val="center"/>
    </w:pPr>
  </w:style>
  <w:style w:type="paragraph" w:customStyle="1" w:styleId="PRT">
    <w:name w:val="PRT"/>
    <w:basedOn w:val="Normal"/>
    <w:next w:val="ART"/>
    <w:rsid w:val="00AC21E1"/>
    <w:pPr>
      <w:keepNext/>
      <w:numPr>
        <w:numId w:val="1"/>
      </w:numPr>
      <w:spacing w:before="480"/>
    </w:pPr>
  </w:style>
  <w:style w:type="paragraph" w:customStyle="1" w:styleId="SUT">
    <w:name w:val="SUT"/>
    <w:basedOn w:val="Normal"/>
    <w:next w:val="PR1"/>
    <w:rsid w:val="00AC21E1"/>
    <w:pPr>
      <w:numPr>
        <w:ilvl w:val="1"/>
        <w:numId w:val="1"/>
      </w:numPr>
      <w:spacing w:before="240"/>
    </w:pPr>
  </w:style>
  <w:style w:type="paragraph" w:customStyle="1" w:styleId="DST">
    <w:name w:val="DST"/>
    <w:basedOn w:val="Normal"/>
    <w:next w:val="PR1"/>
    <w:rsid w:val="00AC21E1"/>
    <w:pPr>
      <w:suppressAutoHyphens/>
      <w:spacing w:before="240"/>
      <w:jc w:val="both"/>
      <w:outlineLvl w:val="0"/>
    </w:pPr>
    <w:rPr>
      <w:rFonts w:ascii="Times New Roman" w:hAnsi="Times New Roman"/>
      <w:sz w:val="22"/>
    </w:rPr>
  </w:style>
  <w:style w:type="paragraph" w:customStyle="1" w:styleId="ART">
    <w:name w:val="ART"/>
    <w:basedOn w:val="Normal"/>
    <w:next w:val="PR1"/>
    <w:rsid w:val="002A6BC1"/>
    <w:pPr>
      <w:keepNext/>
      <w:numPr>
        <w:ilvl w:val="3"/>
        <w:numId w:val="1"/>
      </w:numPr>
      <w:tabs>
        <w:tab w:val="num" w:pos="864"/>
      </w:tabs>
      <w:spacing w:before="240"/>
      <w:ind w:left="576" w:hanging="576"/>
    </w:pPr>
  </w:style>
  <w:style w:type="paragraph" w:customStyle="1" w:styleId="PR1">
    <w:name w:val="PR1"/>
    <w:basedOn w:val="Normal"/>
    <w:rsid w:val="002A6BC1"/>
    <w:pPr>
      <w:numPr>
        <w:ilvl w:val="4"/>
        <w:numId w:val="1"/>
      </w:numPr>
      <w:tabs>
        <w:tab w:val="clear" w:pos="864"/>
        <w:tab w:val="num" w:pos="576"/>
      </w:tabs>
      <w:spacing w:before="240"/>
      <w:ind w:left="1152"/>
    </w:pPr>
  </w:style>
  <w:style w:type="paragraph" w:customStyle="1" w:styleId="PR2">
    <w:name w:val="PR2"/>
    <w:basedOn w:val="Normal"/>
    <w:rsid w:val="002A6BC1"/>
    <w:pPr>
      <w:numPr>
        <w:ilvl w:val="5"/>
        <w:numId w:val="1"/>
      </w:numPr>
      <w:tabs>
        <w:tab w:val="clear" w:pos="1440"/>
        <w:tab w:val="num" w:pos="864"/>
      </w:tabs>
      <w:spacing w:before="120"/>
      <w:ind w:left="1728"/>
      <w:contextualSpacing/>
    </w:pPr>
  </w:style>
  <w:style w:type="paragraph" w:customStyle="1" w:styleId="PR3">
    <w:name w:val="PR3"/>
    <w:basedOn w:val="Normal"/>
    <w:rsid w:val="00AC21E1"/>
    <w:pPr>
      <w:numPr>
        <w:ilvl w:val="6"/>
        <w:numId w:val="1"/>
      </w:numPr>
      <w:tabs>
        <w:tab w:val="num" w:pos="2016"/>
      </w:tabs>
    </w:pPr>
  </w:style>
  <w:style w:type="paragraph" w:customStyle="1" w:styleId="PR4">
    <w:name w:val="PR4"/>
    <w:basedOn w:val="Normal"/>
    <w:rsid w:val="00AC21E1"/>
    <w:pPr>
      <w:numPr>
        <w:ilvl w:val="7"/>
        <w:numId w:val="1"/>
      </w:numPr>
      <w:tabs>
        <w:tab w:val="num" w:pos="2592"/>
      </w:tabs>
    </w:pPr>
  </w:style>
  <w:style w:type="paragraph" w:customStyle="1" w:styleId="PR5">
    <w:name w:val="PR5"/>
    <w:basedOn w:val="Normal"/>
    <w:rsid w:val="00AC21E1"/>
    <w:pPr>
      <w:numPr>
        <w:ilvl w:val="8"/>
        <w:numId w:val="1"/>
      </w:numPr>
      <w:tabs>
        <w:tab w:val="num" w:pos="3168"/>
      </w:tabs>
    </w:pPr>
  </w:style>
  <w:style w:type="paragraph" w:customStyle="1" w:styleId="TB1">
    <w:name w:val="TB1"/>
    <w:basedOn w:val="Normal"/>
    <w:next w:val="PR1"/>
    <w:rsid w:val="00AC21E1"/>
    <w:pPr>
      <w:spacing w:before="240"/>
      <w:ind w:left="864"/>
    </w:pPr>
  </w:style>
  <w:style w:type="paragraph" w:customStyle="1" w:styleId="TB2">
    <w:name w:val="TB2"/>
    <w:basedOn w:val="Normal"/>
    <w:next w:val="PR2"/>
    <w:rsid w:val="00AC21E1"/>
    <w:pPr>
      <w:spacing w:before="240"/>
      <w:ind w:left="1440"/>
    </w:pPr>
  </w:style>
  <w:style w:type="paragraph" w:customStyle="1" w:styleId="TB3">
    <w:name w:val="TB3"/>
    <w:basedOn w:val="Normal"/>
    <w:next w:val="PR3"/>
    <w:rsid w:val="00AC21E1"/>
    <w:pPr>
      <w:spacing w:before="240"/>
      <w:ind w:left="2016"/>
    </w:pPr>
  </w:style>
  <w:style w:type="paragraph" w:customStyle="1" w:styleId="TB4">
    <w:name w:val="TB4"/>
    <w:basedOn w:val="Normal"/>
    <w:next w:val="PR4"/>
    <w:rsid w:val="00AC21E1"/>
    <w:pPr>
      <w:spacing w:before="240"/>
      <w:ind w:left="2592"/>
    </w:pPr>
  </w:style>
  <w:style w:type="paragraph" w:customStyle="1" w:styleId="TB5">
    <w:name w:val="TB5"/>
    <w:basedOn w:val="Normal"/>
    <w:next w:val="PR5"/>
    <w:rsid w:val="00AC21E1"/>
    <w:pPr>
      <w:spacing w:before="240"/>
      <w:ind w:left="3024"/>
    </w:pPr>
  </w:style>
  <w:style w:type="paragraph" w:customStyle="1" w:styleId="TF1">
    <w:name w:val="TF1"/>
    <w:basedOn w:val="Normal"/>
    <w:next w:val="TB1"/>
    <w:pPr>
      <w:suppressAutoHyphens/>
      <w:spacing w:before="240"/>
      <w:ind w:left="288"/>
      <w:jc w:val="both"/>
    </w:pPr>
  </w:style>
  <w:style w:type="paragraph" w:customStyle="1" w:styleId="TF2">
    <w:name w:val="TF2"/>
    <w:basedOn w:val="Normal"/>
    <w:next w:val="TB2"/>
    <w:pPr>
      <w:suppressAutoHyphens/>
      <w:spacing w:before="240"/>
      <w:ind w:left="864"/>
      <w:jc w:val="both"/>
    </w:pPr>
  </w:style>
  <w:style w:type="paragraph" w:customStyle="1" w:styleId="TF3">
    <w:name w:val="TF3"/>
    <w:basedOn w:val="Normal"/>
    <w:next w:val="TB3"/>
    <w:pPr>
      <w:suppressAutoHyphens/>
      <w:spacing w:before="240"/>
      <w:ind w:left="1440"/>
      <w:jc w:val="both"/>
    </w:pPr>
  </w:style>
  <w:style w:type="paragraph" w:customStyle="1" w:styleId="TF4">
    <w:name w:val="TF4"/>
    <w:basedOn w:val="Normal"/>
    <w:next w:val="TB4"/>
    <w:pPr>
      <w:suppressAutoHyphens/>
      <w:spacing w:before="240"/>
      <w:ind w:left="2016"/>
      <w:jc w:val="both"/>
    </w:pPr>
  </w:style>
  <w:style w:type="paragraph" w:customStyle="1" w:styleId="TF5">
    <w:name w:val="TF5"/>
    <w:basedOn w:val="Normal"/>
    <w:next w:val="TB5"/>
    <w:pPr>
      <w:suppressAutoHyphens/>
      <w:spacing w:before="240"/>
      <w:ind w:left="2592"/>
      <w:jc w:val="both"/>
    </w:pPr>
  </w:style>
  <w:style w:type="paragraph" w:customStyle="1" w:styleId="TCH">
    <w:name w:val="TCH"/>
    <w:basedOn w:val="Normal"/>
    <w:rsid w:val="00AC21E1"/>
  </w:style>
  <w:style w:type="paragraph" w:customStyle="1" w:styleId="TCE">
    <w:name w:val="TCE"/>
    <w:basedOn w:val="Normal"/>
    <w:rsid w:val="00AC21E1"/>
    <w:pPr>
      <w:ind w:left="144" w:hanging="144"/>
    </w:pPr>
  </w:style>
  <w:style w:type="paragraph" w:customStyle="1" w:styleId="EOS">
    <w:name w:val="EOS"/>
    <w:basedOn w:val="Normal"/>
    <w:rsid w:val="00AC21E1"/>
    <w:pPr>
      <w:spacing w:before="480"/>
      <w:jc w:val="center"/>
    </w:pPr>
  </w:style>
  <w:style w:type="paragraph" w:customStyle="1" w:styleId="ANT">
    <w:name w:val="ANT"/>
    <w:basedOn w:val="Normal"/>
    <w:pPr>
      <w:suppressAutoHyphens/>
      <w:spacing w:before="240"/>
      <w:jc w:val="both"/>
    </w:pPr>
    <w:rPr>
      <w:vanish/>
      <w:color w:val="800080"/>
      <w:u w:val="single"/>
    </w:rPr>
  </w:style>
  <w:style w:type="paragraph" w:customStyle="1" w:styleId="CMT">
    <w:name w:val="CMT"/>
    <w:basedOn w:val="Normal"/>
    <w:rsid w:val="00AC21E1"/>
    <w:pPr>
      <w:pBdr>
        <w:top w:val="single" w:sz="6" w:space="1" w:color="auto" w:shadow="1"/>
        <w:left w:val="single" w:sz="6" w:space="4" w:color="auto" w:shadow="1"/>
        <w:bottom w:val="single" w:sz="6" w:space="1" w:color="auto" w:shadow="1"/>
        <w:right w:val="single" w:sz="6" w:space="4" w:color="auto" w:shadow="1"/>
      </w:pBdr>
      <w:shd w:val="pct20" w:color="FFFF00" w:fill="auto"/>
      <w:spacing w:before="240"/>
    </w:pPr>
    <w:rPr>
      <w:vanish/>
    </w:rPr>
  </w:style>
  <w:style w:type="character" w:customStyle="1" w:styleId="CPR">
    <w:name w:val="CPR"/>
    <w:basedOn w:val="DefaultParagraphFont"/>
  </w:style>
  <w:style w:type="character" w:customStyle="1" w:styleId="SPN">
    <w:name w:val="SPN"/>
    <w:basedOn w:val="DefaultParagraphFont"/>
  </w:style>
  <w:style w:type="character" w:customStyle="1" w:styleId="SPD">
    <w:name w:val="SPD"/>
    <w:basedOn w:val="DefaultParagraphFont"/>
  </w:style>
  <w:style w:type="character" w:customStyle="1" w:styleId="NUM">
    <w:name w:val="NUM"/>
    <w:basedOn w:val="DefaultParagraphFont"/>
  </w:style>
  <w:style w:type="character" w:customStyle="1" w:styleId="NAM">
    <w:name w:val="NAM"/>
    <w:basedOn w:val="DefaultParagraphFont"/>
  </w:style>
  <w:style w:type="character" w:customStyle="1" w:styleId="SI">
    <w:name w:val="SI"/>
    <w:rsid w:val="00AC21E1"/>
    <w:rPr>
      <w:color w:val="008080"/>
    </w:rPr>
  </w:style>
  <w:style w:type="character" w:customStyle="1" w:styleId="IP">
    <w:name w:val="IP"/>
    <w:rsid w:val="00AC21E1"/>
    <w:rPr>
      <w:color w:val="FF0000"/>
    </w:rPr>
  </w:style>
  <w:style w:type="paragraph" w:customStyle="1" w:styleId="RJUST">
    <w:name w:val="RJUST"/>
    <w:basedOn w:val="Normal"/>
    <w:pPr>
      <w:jc w:val="right"/>
    </w:pPr>
  </w:style>
  <w:style w:type="paragraph" w:styleId="Header">
    <w:name w:val="header"/>
    <w:basedOn w:val="Normal"/>
    <w:link w:val="HeaderChar"/>
    <w:rsid w:val="00AC21E1"/>
    <w:pPr>
      <w:tabs>
        <w:tab w:val="center" w:pos="4320"/>
        <w:tab w:val="right" w:pos="8640"/>
      </w:tabs>
    </w:pPr>
    <w:rPr>
      <w:rFonts w:ascii="Book Antiqua" w:hAnsi="Book Antiqua"/>
    </w:rPr>
  </w:style>
  <w:style w:type="character" w:customStyle="1" w:styleId="HeaderChar">
    <w:name w:val="Header Char"/>
    <w:link w:val="Header"/>
    <w:rsid w:val="00AC21E1"/>
    <w:rPr>
      <w:rFonts w:ascii="Book Antiqua" w:hAnsi="Book Antiqua"/>
    </w:rPr>
  </w:style>
  <w:style w:type="paragraph" w:styleId="Footer">
    <w:name w:val="footer"/>
    <w:basedOn w:val="Normal"/>
    <w:link w:val="FooterChar"/>
    <w:uiPriority w:val="99"/>
    <w:rsid w:val="00AC21E1"/>
    <w:pPr>
      <w:tabs>
        <w:tab w:val="center" w:pos="4320"/>
        <w:tab w:val="right" w:pos="8640"/>
      </w:tabs>
    </w:pPr>
    <w:rPr>
      <w:rFonts w:ascii="Book Antiqua" w:hAnsi="Book Antiqua"/>
    </w:rPr>
  </w:style>
  <w:style w:type="character" w:customStyle="1" w:styleId="FooterChar">
    <w:name w:val="Footer Char"/>
    <w:link w:val="Footer"/>
    <w:uiPriority w:val="99"/>
    <w:rsid w:val="00AC21E1"/>
    <w:rPr>
      <w:rFonts w:ascii="Book Antiqua" w:hAnsi="Book Antiqua"/>
    </w:rPr>
  </w:style>
  <w:style w:type="paragraph" w:customStyle="1" w:styleId="PRN">
    <w:name w:val="PRN"/>
    <w:basedOn w:val="Normal"/>
    <w:rsid w:val="00AC21E1"/>
    <w:pPr>
      <w:pBdr>
        <w:top w:val="single" w:sz="6" w:space="1" w:color="auto" w:shadow="1"/>
        <w:left w:val="single" w:sz="6" w:space="4" w:color="auto" w:shadow="1"/>
        <w:bottom w:val="single" w:sz="6" w:space="1" w:color="auto" w:shadow="1"/>
        <w:right w:val="single" w:sz="6" w:space="4" w:color="auto" w:shadow="1"/>
      </w:pBdr>
      <w:shd w:val="pct20" w:color="FFFF00" w:fill="FFFFFF"/>
    </w:pPr>
    <w:rPr>
      <w:rFonts w:ascii="Book Antiqua" w:hAnsi="Book Antiqua"/>
      <w:vanish/>
    </w:rPr>
  </w:style>
  <w:style w:type="character" w:styleId="PageNumber">
    <w:name w:val="page number"/>
    <w:basedOn w:val="DefaultParagraphFont"/>
    <w:rsid w:val="00AC21E1"/>
  </w:style>
  <w:style w:type="paragraph" w:styleId="BalloonText">
    <w:name w:val="Balloon Text"/>
    <w:basedOn w:val="Normal"/>
    <w:link w:val="BalloonTextChar"/>
    <w:rsid w:val="00AC21E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AC21E1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643B7D"/>
    <w:rPr>
      <w:sz w:val="22"/>
    </w:rPr>
  </w:style>
  <w:style w:type="table" w:styleId="TableGrid">
    <w:name w:val="Table Grid"/>
    <w:basedOn w:val="TableNormal"/>
    <w:rsid w:val="004F310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StylePR2JustifiedBefore12pt">
    <w:name w:val="Style PR2 + Justified Before:  12 pt"/>
    <w:basedOn w:val="PR2"/>
    <w:rsid w:val="00101349"/>
    <w:pPr>
      <w:tabs>
        <w:tab w:val="left" w:pos="1440"/>
      </w:tabs>
    </w:pPr>
    <w:rPr>
      <w:rFonts w:ascii="Book Antiqua" w:hAnsi="Book Antiqua"/>
    </w:rPr>
  </w:style>
  <w:style w:type="paragraph" w:customStyle="1" w:styleId="StylePR3JustifiedBefore12pt">
    <w:name w:val="Style PR3 + Justified Before:  12 pt"/>
    <w:basedOn w:val="PR3"/>
    <w:rsid w:val="00101349"/>
    <w:pPr>
      <w:tabs>
        <w:tab w:val="left" w:pos="2016"/>
      </w:tabs>
    </w:pPr>
    <w:rPr>
      <w:rFonts w:ascii="Book Antiqua" w:hAnsi="Book Antiqua"/>
    </w:rPr>
  </w:style>
  <w:style w:type="paragraph" w:customStyle="1" w:styleId="StylePR2Before12pt">
    <w:name w:val="Style PR2 + Before:  12 pt"/>
    <w:basedOn w:val="PR2"/>
    <w:rsid w:val="00101349"/>
    <w:pPr>
      <w:tabs>
        <w:tab w:val="left" w:pos="1440"/>
      </w:tabs>
    </w:pPr>
    <w:rPr>
      <w:rFonts w:ascii="Book Antiqua" w:hAnsi="Book Antiqua"/>
    </w:rPr>
  </w:style>
  <w:style w:type="paragraph" w:customStyle="1" w:styleId="StylePR3Before12pt">
    <w:name w:val="Style PR3 + Before:  12 pt"/>
    <w:basedOn w:val="PR3"/>
    <w:rsid w:val="00101349"/>
    <w:pPr>
      <w:tabs>
        <w:tab w:val="left" w:pos="2016"/>
      </w:tabs>
    </w:pPr>
    <w:rPr>
      <w:rFonts w:ascii="Book Antiqua" w:hAnsi="Book Antiq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405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0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82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4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90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8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LongProperties xmlns="http://schemas.microsoft.com/office/2006/metadata/longProperties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9187B883F164C43B99899AE4FC0422D" ma:contentTypeVersion="4" ma:contentTypeDescription="Create a new document." ma:contentTypeScope="" ma:versionID="d9bf64e47d410d0e8608418041cdad8f">
  <xsd:schema xmlns:xsd="http://www.w3.org/2001/XMLSchema" xmlns:xs="http://www.w3.org/2001/XMLSchema" xmlns:p="http://schemas.microsoft.com/office/2006/metadata/properties" xmlns:ns2="9e97807d-defa-4fe0-a191-ee19bb4cbfae" targetNamespace="http://schemas.microsoft.com/office/2006/metadata/properties" ma:root="true" ma:fieldsID="78077db0822222fcbfbc2c33a254f3a2" ns2:_="">
    <xsd:import namespace="9e97807d-defa-4fe0-a191-ee19bb4cbfa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97807d-defa-4fe0-a191-ee19bb4cbfa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C7B0D83-FED8-423E-91F0-308B9D3F8D05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9AEF0DBF-1EB2-406A-9700-BFBCFBD5805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D414517-5DA8-4ADA-BDE1-E314B473527E}"/>
</file>

<file path=customXml/itemProps4.xml><?xml version="1.0" encoding="utf-8"?>
<ds:datastoreItem xmlns:ds="http://schemas.openxmlformats.org/officeDocument/2006/customXml" ds:itemID="{83280BFE-2150-4EEA-99D6-6285294B32A9}">
  <ds:schemaRefs>
    <ds:schemaRef ds:uri="http://schemas.microsoft.com/office/2006/metadata/properties"/>
    <ds:schemaRef ds:uri="http://schemas.microsoft.com/office/infopath/2007/PartnerControls"/>
    <ds:schemaRef ds:uri="a2f50732-c125-46c1-b371-0ab2a09cea3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700</Words>
  <Characters>3992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SECTION 262816 - ENCLOSED SWITCHES AND CIRCUIT BREAKERS</vt:lpstr>
    </vt:vector>
  </TitlesOfParts>
  <Company>ARCOM, Inc</Company>
  <LinksUpToDate>false</LinksUpToDate>
  <CharactersWithSpaces>4683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SECTION 262816 - ENCLOSED SWITCHES AND CIRCUIT BREAKERS</dc:title>
  <dc:subject>ENCLOSED SWITCHES AND CIRCUIT BREAKERS</dc:subject>
  <dc:creator>ARCOM, Inc.</dc:creator>
  <cp:keywords>BAS-12345-MS80</cp:keywords>
  <cp:lastModifiedBy>Jake Uchihara</cp:lastModifiedBy>
  <cp:revision>6</cp:revision>
  <cp:lastPrinted>2018-08-29T22:25:00Z</cp:lastPrinted>
  <dcterms:created xsi:type="dcterms:W3CDTF">2017-07-03T21:58:00Z</dcterms:created>
  <dcterms:modified xsi:type="dcterms:W3CDTF">2023-10-26T19:06:00Z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Document</vt:lpwstr>
  </property>
  <property fmtid="{D5CDD505-2E9C-101B-9397-08002B2CF9AE}" pid="3" name="display_urn:schemas-microsoft-com:office:office#SME">
    <vt:lpwstr>Joe D. Virnig</vt:lpwstr>
  </property>
  <property fmtid="{D5CDD505-2E9C-101B-9397-08002B2CF9AE}" pid="4" name="ContentTypeId">
    <vt:lpwstr>0x01010059187B883F164C43B99899AE4FC0422D</vt:lpwstr>
  </property>
</Properties>
</file>